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31" w:rsidRDefault="00CC4331" w:rsidP="00CC4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Bogotá, diciembre 27 de 2018.-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 La Superintendencia Financiera de Colombia, en ejercicio de sus atribuciones legales y en especial de lo dispuesto en los artículos 11.2.5.1.1 y siguientes del Decreto 2555 de 2010, expidió el 27 de diciembre de 2018 la </w:t>
      </w:r>
      <w:hyperlink r:id="rId5" w:history="1">
        <w:r w:rsidRPr="00CC4331">
          <w:rPr>
            <w:rFonts w:ascii="Times New Roman" w:eastAsia="Times New Roman" w:hAnsi="Times New Roman" w:cs="Times New Roman"/>
            <w:b/>
            <w:bCs/>
            <w:color w:val="8A1E04"/>
            <w:sz w:val="24"/>
            <w:szCs w:val="24"/>
            <w:shd w:val="clear" w:color="auto" w:fill="FFFFFF"/>
            <w:lang w:eastAsia="es-CO"/>
          </w:rPr>
          <w:t>Resolución No. 1872</w:t>
        </w:r>
      </w:hyperlink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 por medio de la cual certifica el Interés Bancario Corriente para los siguientes periodos y modalidades de crédito:</w:t>
      </w:r>
    </w:p>
    <w:p w:rsidR="00CC4331" w:rsidRPr="00CC4331" w:rsidRDefault="00CC4331" w:rsidP="00CC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C4331" w:rsidRPr="00CC4331" w:rsidRDefault="00CC4331" w:rsidP="00CC433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t>Consumo y Ordinario: entre el 1 y el 31 de enero de 2019.</w:t>
      </w:r>
    </w:p>
    <w:p w:rsidR="00CC4331" w:rsidRDefault="00CC4331" w:rsidP="00CC433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t>Microcrédito: entre el 1 de enero y el 31 de marzo de 2019.</w:t>
      </w:r>
    </w:p>
    <w:p w:rsidR="00CC4331" w:rsidRPr="00CC4331" w:rsidRDefault="00CC4331" w:rsidP="00CC4331">
      <w:pPr>
        <w:shd w:val="clear" w:color="auto" w:fill="FFFFFF"/>
        <w:spacing w:after="0" w:line="240" w:lineRule="auto"/>
        <w:ind w:left="600" w:righ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</w:p>
    <w:p w:rsidR="00CC4331" w:rsidRDefault="00CC4331" w:rsidP="00CC4331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Con la mencionada Resolución se certifica el Interés Bancario Corriente efectivo anual para la modalidad de crédito de consumo y ordinario en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19.16%, 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lo cual representa una disminución de 24 puntos básicos (-0.24%) en relación con la anterior certificación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(19.40%).</w:t>
      </w:r>
    </w:p>
    <w:p w:rsidR="00CC4331" w:rsidRDefault="00CC4331" w:rsidP="00CC433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Adicionalmente, se certifica el Interés Bancario Corriente efectivo anual para la modalidad de microcrédito en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36.65%,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 lo cual representa una disminución de 7 puntos básicos (-0.07%) en relación con la anterior certificación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(36.72%)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.</w:t>
      </w:r>
    </w:p>
    <w:p w:rsidR="00CC4331" w:rsidRDefault="00CC4331" w:rsidP="00CC4331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INTERÉS REMUNERATORIO Y DE MORA</w:t>
      </w:r>
    </w:p>
    <w:p w:rsidR="00CC4331" w:rsidRDefault="00CC4331" w:rsidP="00CC433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En atención a lo dispuesto en el artículo 884 del Código de Comercio, en concordancia con lo señalado en los artículos 11.2.5.1.2 y 11.2.5.1.3 del Decreto 2555 de 2010, los intereses remuneratorio y moratorio no podrán exceder 1.5 veces el Interés Bancario Corriente, es decir, el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28.74% 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efectivo anual para la modalidad de crédito de consumo y ordinario y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54.98% 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efectivo anual para la modalidad de microcrédito.</w:t>
      </w:r>
    </w:p>
    <w:p w:rsidR="00CC4331" w:rsidRDefault="00CC4331" w:rsidP="00CC433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USURA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bancos.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Para la modalidad de crédito de consumo y ordinario se sitúa en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28.74%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 efectivo anual, resultado que representa una disminución de 36 puntos básicos (-0.36%) con respecto al periodo anterior.</w:t>
      </w:r>
    </w:p>
    <w:p w:rsidR="00932DC0" w:rsidRDefault="00CC4331" w:rsidP="00CC433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</w:pP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  <w:lastRenderedPageBreak/>
        <w:br/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Para la modalidad de microcrédito es de </w:t>
      </w:r>
      <w:r w:rsidRPr="00CC43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s-CO"/>
        </w:rPr>
        <w:t>54.98%</w:t>
      </w:r>
      <w:r w:rsidRPr="00CC433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 efectivo anual, una disminución de 10 puntos básicos (-0.10%) con respecto al periodo anterior.</w:t>
      </w:r>
    </w:p>
    <w:p w:rsidR="00CC4331" w:rsidRPr="00CC4331" w:rsidRDefault="00CC4331" w:rsidP="00CC4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s-CO"/>
        </w:rPr>
        <w:t>________________________________________________________________________</w:t>
      </w:r>
      <w:bookmarkStart w:id="0" w:name="_GoBack"/>
      <w:bookmarkEnd w:id="0"/>
    </w:p>
    <w:sectPr w:rsidR="00CC4331" w:rsidRPr="00CC4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4BE"/>
    <w:multiLevelType w:val="multilevel"/>
    <w:tmpl w:val="15D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31"/>
    <w:rsid w:val="00932DC0"/>
    <w:rsid w:val="00C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169C"/>
  <w15:chartTrackingRefBased/>
  <w15:docId w15:val="{8A68DF23-FCFA-4194-987F-40952F8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financiera.gov.co/descargas/institucional/pubFile1034959/r1872_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2019-01-08T23:01:00Z</dcterms:created>
  <dcterms:modified xsi:type="dcterms:W3CDTF">2019-01-08T23:03:00Z</dcterms:modified>
</cp:coreProperties>
</file>